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bookmarkStart w:id="0" w:name="_GoBack"/>
      <w:bookmarkEnd w:id="0"/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1F61F748" wp14:editId="0C5841A0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AE26A6" w:rsidRDefault="00F43714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 xml:space="preserve">Štev. </w:t>
      </w:r>
      <w:r w:rsidR="00C7353B">
        <w:t>3528-2</w:t>
      </w:r>
      <w:r>
        <w:t>/2017</w:t>
      </w:r>
    </w:p>
    <w:p w:rsidR="00893A28" w:rsidRDefault="00893A28" w:rsidP="00893A28">
      <w:pPr>
        <w:pStyle w:val="Brezrazmikov"/>
        <w:jc w:val="both"/>
      </w:pPr>
      <w:r>
        <w:t>Dne  19.6.2017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 xml:space="preserve">Odbor za gospodarjenje s premoženjem občine Kidričevo, je na svoji 16. </w:t>
      </w:r>
      <w:r w:rsidR="008B224B">
        <w:t>r</w:t>
      </w:r>
      <w:r>
        <w:t xml:space="preserve">edni seji, ki je bila, dne 14.6.2017 obravnaval </w:t>
      </w:r>
      <w:r w:rsidR="00C7353B">
        <w:t>vlogo Servis smuči JANI, Janez Gornik, s.p.,   Maribor, za najem poslovnega prostora na naslovu Ul. Borisa Kraigherja 25, Kidričevo, in sprejel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93A28" w:rsidRDefault="00893A28" w:rsidP="00893A28">
      <w:pPr>
        <w:pStyle w:val="Brezrazmikov"/>
        <w:jc w:val="center"/>
        <w:rPr>
          <w:b/>
          <w:sz w:val="28"/>
        </w:rPr>
      </w:pPr>
    </w:p>
    <w:p w:rsidR="00893A28" w:rsidRDefault="00893A28" w:rsidP="00893A28">
      <w:pPr>
        <w:pStyle w:val="Brezrazmikov"/>
        <w:jc w:val="center"/>
        <w:rPr>
          <w:b/>
          <w:sz w:val="28"/>
        </w:rPr>
      </w:pPr>
    </w:p>
    <w:p w:rsidR="00C7353B" w:rsidRPr="004354E4" w:rsidRDefault="00C7353B" w:rsidP="00C7353B">
      <w:pPr>
        <w:pStyle w:val="Brezrazmikov"/>
        <w:jc w:val="both"/>
        <w:rPr>
          <w:rFonts w:eastAsia="Times New Roman" w:cs="Times New Roman"/>
          <w:szCs w:val="24"/>
          <w:lang w:eastAsia="sl-SI"/>
        </w:rPr>
      </w:pPr>
      <w:r>
        <w:t xml:space="preserve">Odbor za gospodarjenje s premoženjem Občine Kidričevo predlaga občinskemu svetu Občine Kidričevo, da </w:t>
      </w:r>
      <w:r w:rsidRPr="004354E4">
        <w:rPr>
          <w:rFonts w:eastAsia="Times New Roman" w:cs="Times New Roman"/>
          <w:szCs w:val="24"/>
          <w:lang w:eastAsia="sl-SI"/>
        </w:rPr>
        <w:t>Občina Kidričevo odda fizični osebi Servis smuči JANI, Janez Gornik s.p., Ulica heroja Šaranoviča 10, 2000 Maribor, poslovni prostor, ki se nahaja v drugem nadstropju bivše občinske stavbe, na naslovu Ulica Borisa Kraigherja 25, 2325 Kidričevo, in sicer bivši prostor javnega podjetja Vzdrževanje in gradnje d.o.o., v površini 16,70 m</w:t>
      </w:r>
      <w:r w:rsidRPr="004354E4">
        <w:rPr>
          <w:rFonts w:eastAsia="Times New Roman" w:cs="Times New Roman"/>
          <w:szCs w:val="24"/>
          <w:vertAlign w:val="superscript"/>
          <w:lang w:eastAsia="sl-SI"/>
        </w:rPr>
        <w:t>2</w:t>
      </w:r>
      <w:r w:rsidRPr="004354E4">
        <w:rPr>
          <w:rFonts w:eastAsia="Times New Roman" w:cs="Times New Roman"/>
          <w:szCs w:val="24"/>
          <w:lang w:eastAsia="sl-SI"/>
        </w:rPr>
        <w:t>, za določen čas 10 let, in sicer na podlagi neposredne pogodbe za mesečno najemnino v višini 68,31 EUR.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 s</w:t>
      </w:r>
    </w:p>
    <w:p w:rsidR="00893A28" w:rsidRP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premoženjem Občine Kidričevo </w:t>
      </w:r>
    </w:p>
    <w:sectPr w:rsidR="00893A28" w:rsidRPr="00893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28"/>
    <w:rsid w:val="001118BD"/>
    <w:rsid w:val="00644A84"/>
    <w:rsid w:val="00893A28"/>
    <w:rsid w:val="008B224B"/>
    <w:rsid w:val="00C7353B"/>
    <w:rsid w:val="00F4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3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3A2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A2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A28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3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3A2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A2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A28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2017-06-19T11:44:00Z</cp:lastPrinted>
  <dcterms:created xsi:type="dcterms:W3CDTF">2017-06-20T12:29:00Z</dcterms:created>
  <dcterms:modified xsi:type="dcterms:W3CDTF">2017-06-20T12:29:00Z</dcterms:modified>
</cp:coreProperties>
</file>